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41B2" w14:textId="31762014" w:rsidR="001C376C" w:rsidRPr="00CF7A57" w:rsidRDefault="42135A49" w:rsidP="0961BF5F">
      <w:pPr>
        <w:spacing w:after="0" w:line="240" w:lineRule="auto"/>
        <w:contextualSpacing/>
        <w:jc w:val="center"/>
        <w:rPr>
          <w:rFonts w:ascii="Montserrat" w:hAnsi="Montserrat"/>
          <w:b/>
          <w:bCs/>
          <w:color w:val="E97032"/>
          <w:szCs w:val="22"/>
        </w:rPr>
      </w:pPr>
      <w:r w:rsidRPr="00CF7A57">
        <w:rPr>
          <w:rFonts w:ascii="Montserrat" w:hAnsi="Montserrat"/>
          <w:b/>
          <w:bCs/>
          <w:color w:val="E97032"/>
          <w:szCs w:val="22"/>
        </w:rPr>
        <w:t>C</w:t>
      </w:r>
      <w:r w:rsidR="2D4B3D71" w:rsidRPr="00CF7A57">
        <w:rPr>
          <w:rFonts w:ascii="Montserrat" w:hAnsi="Montserrat"/>
          <w:b/>
          <w:bCs/>
          <w:color w:val="E97032"/>
          <w:szCs w:val="22"/>
        </w:rPr>
        <w:t>an</w:t>
      </w:r>
      <w:r w:rsidR="38160987" w:rsidRPr="00CF7A57">
        <w:rPr>
          <w:rFonts w:ascii="Montserrat" w:hAnsi="Montserrat"/>
          <w:b/>
          <w:bCs/>
          <w:color w:val="E97032"/>
          <w:szCs w:val="22"/>
        </w:rPr>
        <w:t>a</w:t>
      </w:r>
      <w:r w:rsidR="2D4B3D71" w:rsidRPr="00CF7A57">
        <w:rPr>
          <w:rFonts w:ascii="Montserrat" w:hAnsi="Montserrat"/>
          <w:b/>
          <w:bCs/>
          <w:color w:val="E97032"/>
          <w:szCs w:val="22"/>
        </w:rPr>
        <w:t>da-</w:t>
      </w:r>
      <w:r w:rsidRPr="00CF7A57">
        <w:rPr>
          <w:rFonts w:ascii="Montserrat" w:hAnsi="Montserrat"/>
          <w:b/>
          <w:bCs/>
          <w:color w:val="E97032"/>
          <w:szCs w:val="22"/>
        </w:rPr>
        <w:t>Y</w:t>
      </w:r>
      <w:r w:rsidR="6C96B57E" w:rsidRPr="00CF7A57">
        <w:rPr>
          <w:rFonts w:ascii="Montserrat" w:hAnsi="Montserrat"/>
          <w:b/>
          <w:bCs/>
          <w:color w:val="E97032"/>
          <w:szCs w:val="22"/>
        </w:rPr>
        <w:t xml:space="preserve">ukon </w:t>
      </w:r>
      <w:r w:rsidRPr="00CF7A57">
        <w:rPr>
          <w:rFonts w:ascii="Montserrat" w:hAnsi="Montserrat"/>
          <w:b/>
          <w:bCs/>
          <w:color w:val="E97032"/>
          <w:szCs w:val="22"/>
        </w:rPr>
        <w:t>H</w:t>
      </w:r>
      <w:r w:rsidR="7DAB3767" w:rsidRPr="00CF7A57">
        <w:rPr>
          <w:rFonts w:ascii="Montserrat" w:hAnsi="Montserrat"/>
          <w:b/>
          <w:bCs/>
          <w:color w:val="E97032"/>
          <w:szCs w:val="22"/>
        </w:rPr>
        <w:t xml:space="preserve">ousing </w:t>
      </w:r>
      <w:r w:rsidRPr="00CF7A57">
        <w:rPr>
          <w:rFonts w:ascii="Montserrat" w:hAnsi="Montserrat"/>
          <w:b/>
          <w:bCs/>
          <w:color w:val="E97032"/>
          <w:szCs w:val="22"/>
        </w:rPr>
        <w:t>B</w:t>
      </w:r>
      <w:r w:rsidR="1D358726" w:rsidRPr="00CF7A57">
        <w:rPr>
          <w:rFonts w:ascii="Montserrat" w:hAnsi="Montserrat"/>
          <w:b/>
          <w:bCs/>
          <w:color w:val="E97032"/>
          <w:szCs w:val="22"/>
        </w:rPr>
        <w:t>enefit</w:t>
      </w:r>
      <w:r w:rsidRPr="00CF7A57">
        <w:rPr>
          <w:rFonts w:ascii="Montserrat" w:hAnsi="Montserrat"/>
          <w:b/>
          <w:bCs/>
          <w:color w:val="E97032"/>
          <w:szCs w:val="22"/>
        </w:rPr>
        <w:t>- G</w:t>
      </w:r>
      <w:r w:rsidR="615217BB" w:rsidRPr="00CF7A57">
        <w:rPr>
          <w:rFonts w:ascii="Montserrat" w:hAnsi="Montserrat"/>
          <w:b/>
          <w:bCs/>
          <w:color w:val="E97032"/>
          <w:szCs w:val="22"/>
        </w:rPr>
        <w:t>ender-</w:t>
      </w:r>
      <w:r w:rsidRPr="00CF7A57">
        <w:rPr>
          <w:rFonts w:ascii="Montserrat" w:hAnsi="Montserrat"/>
          <w:b/>
          <w:bCs/>
          <w:color w:val="E97032"/>
          <w:szCs w:val="22"/>
        </w:rPr>
        <w:t>B</w:t>
      </w:r>
      <w:r w:rsidR="66BBA81D" w:rsidRPr="00CF7A57">
        <w:rPr>
          <w:rFonts w:ascii="Montserrat" w:hAnsi="Montserrat"/>
          <w:b/>
          <w:bCs/>
          <w:color w:val="E97032"/>
          <w:szCs w:val="22"/>
        </w:rPr>
        <w:t xml:space="preserve">ased </w:t>
      </w:r>
      <w:r w:rsidRPr="00CF7A57">
        <w:rPr>
          <w:rFonts w:ascii="Montserrat" w:hAnsi="Montserrat"/>
          <w:b/>
          <w:bCs/>
          <w:color w:val="E97032"/>
          <w:szCs w:val="22"/>
        </w:rPr>
        <w:t>V</w:t>
      </w:r>
      <w:r w:rsidR="01B19DE7" w:rsidRPr="00CF7A57">
        <w:rPr>
          <w:rFonts w:ascii="Montserrat" w:hAnsi="Montserrat"/>
          <w:b/>
          <w:bCs/>
          <w:color w:val="E97032"/>
          <w:szCs w:val="22"/>
        </w:rPr>
        <w:t>iolence</w:t>
      </w:r>
      <w:r w:rsidRPr="00CF7A57">
        <w:rPr>
          <w:rFonts w:ascii="Montserrat" w:hAnsi="Montserrat"/>
          <w:b/>
          <w:bCs/>
          <w:color w:val="E97032"/>
          <w:szCs w:val="22"/>
        </w:rPr>
        <w:t xml:space="preserve"> </w:t>
      </w:r>
    </w:p>
    <w:p w14:paraId="3E2860EC" w14:textId="70A993D9" w:rsidR="00037B3E" w:rsidRPr="00CF7A57" w:rsidRDefault="00037B3E" w:rsidP="0961BF5F">
      <w:pPr>
        <w:spacing w:after="0" w:line="240" w:lineRule="auto"/>
        <w:contextualSpacing/>
        <w:jc w:val="center"/>
        <w:rPr>
          <w:rFonts w:ascii="Montserrat" w:hAnsi="Montserrat"/>
          <w:b/>
          <w:bCs/>
          <w:color w:val="E97032"/>
          <w:szCs w:val="22"/>
        </w:rPr>
      </w:pPr>
      <w:r w:rsidRPr="00CF7A57">
        <w:rPr>
          <w:rFonts w:ascii="Montserrat" w:hAnsi="Montserrat"/>
          <w:b/>
          <w:bCs/>
          <w:color w:val="E97032"/>
          <w:szCs w:val="22"/>
        </w:rPr>
        <w:t>FAQ for Applicants</w:t>
      </w:r>
    </w:p>
    <w:p w14:paraId="2E1B02F8" w14:textId="77777777" w:rsidR="00037B3E" w:rsidRDefault="00037B3E" w:rsidP="0961BF5F">
      <w:pPr>
        <w:spacing w:after="0" w:line="240" w:lineRule="auto"/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</w:pPr>
    </w:p>
    <w:p w14:paraId="5D4DB7A3" w14:textId="24AF63E4" w:rsidR="00037B3E" w:rsidRPr="00CF7A57" w:rsidRDefault="00037B3E" w:rsidP="0961BF5F">
      <w:pPr>
        <w:spacing w:after="0" w:line="240" w:lineRule="auto"/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What is this program and who is it for?</w:t>
      </w:r>
      <w:r w:rsidRPr="00CF7A57">
        <w:rPr>
          <w:rFonts w:ascii="Nunito Sans" w:eastAsia="Times New Roman" w:hAnsi="Nunito Sans" w:cs="Times New Roman"/>
          <w:kern w:val="0"/>
          <w14:ligatures w14:val="none"/>
        </w:rPr>
        <w:br/>
      </w:r>
      <w:r w:rsidR="0B2113E6" w:rsidRPr="00CF7A57">
        <w:rPr>
          <w:rFonts w:ascii="Nunito Sans" w:eastAsia="Nunito Sans" w:hAnsi="Nunito Sans" w:cs="Nunito Sans"/>
          <w:sz w:val="22"/>
          <w:szCs w:val="22"/>
        </w:rPr>
        <w:t>This federal-territorial program provides short-term financial help with housing costs for people in the Yukon who have experienced gender-based violence.</w:t>
      </w:r>
    </w:p>
    <w:p w14:paraId="098AD65D" w14:textId="77777777" w:rsidR="00037B3E" w:rsidRPr="00CF7A57" w:rsidRDefault="00037B3E" w:rsidP="64F43754">
      <w:pPr>
        <w:spacing w:after="0" w:line="240" w:lineRule="auto"/>
        <w:rPr>
          <w:rFonts w:ascii="Nunito Sans" w:eastAsia="Times New Roman" w:hAnsi="Nunito Sans" w:cs="Times New Roman"/>
          <w:b/>
          <w:bCs/>
          <w:kern w:val="0"/>
          <w:sz w:val="32"/>
          <w:szCs w:val="32"/>
          <w14:ligatures w14:val="none"/>
        </w:rPr>
      </w:pPr>
    </w:p>
    <w:p w14:paraId="523143B4" w14:textId="653336C3" w:rsidR="2508CEE9" w:rsidRPr="00CF7A57" w:rsidRDefault="2508CEE9" w:rsidP="0961BF5F">
      <w:pPr>
        <w:spacing w:after="0" w:line="240" w:lineRule="auto"/>
        <w:rPr>
          <w:rFonts w:ascii="Nunito Sans" w:eastAsia="Times New Roman" w:hAnsi="Nunito Sans" w:cs="Times New Roman"/>
          <w:b/>
          <w:bCs/>
          <w:sz w:val="22"/>
          <w:szCs w:val="22"/>
        </w:rPr>
      </w:pPr>
      <w:r w:rsidRPr="00CF7A57">
        <w:rPr>
          <w:rFonts w:ascii="Nunito Sans" w:eastAsia="Times New Roman" w:hAnsi="Nunito Sans" w:cs="Times New Roman"/>
          <w:b/>
          <w:bCs/>
          <w:sz w:val="22"/>
          <w:szCs w:val="22"/>
        </w:rPr>
        <w:t>What is gender-based violence?</w:t>
      </w:r>
    </w:p>
    <w:p w14:paraId="6FA8E522" w14:textId="7BB0703A" w:rsidR="2508CEE9" w:rsidRPr="00CF7A57" w:rsidRDefault="2508CEE9" w:rsidP="0961BF5F">
      <w:pPr>
        <w:spacing w:after="0" w:line="240" w:lineRule="auto"/>
        <w:rPr>
          <w:rFonts w:ascii="Nunito Sans" w:eastAsia="Times New Roman" w:hAnsi="Nunito Sans" w:cs="Times New Roman"/>
          <w:sz w:val="22"/>
          <w:szCs w:val="22"/>
        </w:rPr>
      </w:pPr>
      <w:r w:rsidRPr="00CF7A57">
        <w:rPr>
          <w:rFonts w:ascii="Nunito Sans" w:eastAsia="Times New Roman" w:hAnsi="Nunito Sans" w:cs="Times New Roman"/>
          <w:sz w:val="22"/>
          <w:szCs w:val="22"/>
        </w:rPr>
        <w:t xml:space="preserve">For this Benefit Program, gender-based violence is defined as violence based on gender norms and unequal power dynamics </w:t>
      </w:r>
      <w:r w:rsidR="3531EB9C" w:rsidRPr="00CF7A57">
        <w:rPr>
          <w:rFonts w:ascii="Nunito Sans" w:eastAsia="Times New Roman" w:hAnsi="Nunito Sans" w:cs="Times New Roman"/>
          <w:sz w:val="22"/>
          <w:szCs w:val="22"/>
        </w:rPr>
        <w:t xml:space="preserve">perpetrated </w:t>
      </w:r>
      <w:r w:rsidRPr="00CF7A57">
        <w:rPr>
          <w:rFonts w:ascii="Nunito Sans" w:eastAsia="Times New Roman" w:hAnsi="Nunito Sans" w:cs="Times New Roman"/>
          <w:sz w:val="22"/>
          <w:szCs w:val="22"/>
        </w:rPr>
        <w:t xml:space="preserve">against someone based on sex, gender, gender identity, gender expression, or </w:t>
      </w:r>
      <w:r w:rsidR="14C87DBC" w:rsidRPr="00CF7A57">
        <w:rPr>
          <w:rFonts w:ascii="Nunito Sans" w:eastAsia="Times New Roman" w:hAnsi="Nunito Sans" w:cs="Times New Roman"/>
          <w:sz w:val="22"/>
          <w:szCs w:val="22"/>
        </w:rPr>
        <w:t>perceived</w:t>
      </w:r>
      <w:r w:rsidRPr="00CF7A57">
        <w:rPr>
          <w:rFonts w:ascii="Nunito Sans" w:eastAsia="Times New Roman" w:hAnsi="Nunito Sans" w:cs="Times New Roman"/>
          <w:sz w:val="22"/>
          <w:szCs w:val="22"/>
        </w:rPr>
        <w:t xml:space="preserve"> gender including women, girls, 2SLG</w:t>
      </w:r>
      <w:r w:rsidR="1C965984" w:rsidRPr="00CF7A57">
        <w:rPr>
          <w:rFonts w:ascii="Nunito Sans" w:eastAsia="Times New Roman" w:hAnsi="Nunito Sans" w:cs="Times New Roman"/>
          <w:sz w:val="22"/>
          <w:szCs w:val="22"/>
        </w:rPr>
        <w:t>BTQI+. Violence takes many forms, including physical, sexual, financial, as well as emotional (psychological) abuse. It includes but is not limited to intimate partner violence and human trafficking.</w:t>
      </w:r>
    </w:p>
    <w:p w14:paraId="3145FF25" w14:textId="12357687" w:rsidR="62E68F25" w:rsidRPr="00CF7A57" w:rsidRDefault="62E68F25" w:rsidP="64F43754">
      <w:pPr>
        <w:spacing w:after="0" w:line="240" w:lineRule="auto"/>
        <w:rPr>
          <w:rFonts w:ascii="Nunito Sans" w:eastAsia="Times New Roman" w:hAnsi="Nunito Sans" w:cs="Times New Roman"/>
          <w:sz w:val="32"/>
          <w:szCs w:val="32"/>
        </w:rPr>
      </w:pPr>
    </w:p>
    <w:p w14:paraId="2E4E61B6" w14:textId="1F5DB814" w:rsidR="00037B3E" w:rsidRPr="00CF7A57" w:rsidRDefault="00037B3E" w:rsidP="0961BF5F">
      <w:pPr>
        <w:spacing w:after="0" w:line="240" w:lineRule="auto"/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 xml:space="preserve">What </w:t>
      </w:r>
      <w:r w:rsidR="1FCA3128"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financial</w:t>
      </w: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 xml:space="preserve"> supports are available?</w:t>
      </w:r>
    </w:p>
    <w:p w14:paraId="7493E7CB" w14:textId="055E8EC0" w:rsidR="00037B3E" w:rsidRPr="00CF7A57" w:rsidRDefault="00037B3E" w:rsidP="0961BF5F">
      <w:pPr>
        <w:pStyle w:val="ListParagraph"/>
        <w:numPr>
          <w:ilvl w:val="0"/>
          <w:numId w:val="1"/>
        </w:numPr>
        <w:spacing w:after="0" w:line="240" w:lineRule="auto"/>
        <w:rPr>
          <w:rFonts w:ascii="Nunito Sans" w:eastAsia="Times New Roman" w:hAnsi="Nunito Sans" w:cs="Times New Roman"/>
          <w:sz w:val="22"/>
          <w:szCs w:val="22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Grant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provides </w:t>
      </w:r>
      <w:r w:rsidR="7D5D2A2F" w:rsidRPr="00CF7A57">
        <w:rPr>
          <w:rFonts w:ascii="Nunito Sans" w:eastAsia="Times New Roman" w:hAnsi="Nunito Sans" w:cs="Times New Roman"/>
          <w:sz w:val="22"/>
          <w:szCs w:val="22"/>
        </w:rPr>
        <w:t>financial assistance with housing and moving-related expenses, up to a maximum of $6,650.</w:t>
      </w:r>
    </w:p>
    <w:p w14:paraId="04D0DCD4" w14:textId="4F1764D2" w:rsidR="00037B3E" w:rsidRPr="00CF7A57" w:rsidRDefault="00037B3E" w:rsidP="0961BF5F">
      <w:pPr>
        <w:numPr>
          <w:ilvl w:val="0"/>
          <w:numId w:val="1"/>
        </w:numPr>
        <w:spacing w:after="0" w:line="240" w:lineRule="auto"/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Subsidy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offers up to $2</w:t>
      </w:r>
      <w:r w:rsidR="00E425AA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0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00 per month for</w:t>
      </w:r>
      <w:r w:rsidR="2DFBACDB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up to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1</w:t>
      </w:r>
      <w:r w:rsidR="5A73599F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8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months (tapering </w:t>
      </w:r>
      <w:r w:rsidR="74D2B164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down over last 6 months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) to help cover </w:t>
      </w:r>
      <w:r w:rsidR="42040C61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housing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payments.</w:t>
      </w:r>
    </w:p>
    <w:p w14:paraId="5BB45B20" w14:textId="77777777" w:rsidR="00037B3E" w:rsidRPr="00CF7A57" w:rsidRDefault="00037B3E" w:rsidP="64F43754">
      <w:pPr>
        <w:spacing w:after="0" w:line="240" w:lineRule="auto"/>
        <w:rPr>
          <w:rFonts w:ascii="Nunito Sans" w:eastAsia="Times New Roman" w:hAnsi="Nunito Sans" w:cs="Times New Roman"/>
          <w:b/>
          <w:bCs/>
          <w:kern w:val="0"/>
          <w:sz w:val="32"/>
          <w:szCs w:val="32"/>
          <w14:ligatures w14:val="none"/>
        </w:rPr>
      </w:pPr>
    </w:p>
    <w:p w14:paraId="3118B79D" w14:textId="77777777" w:rsidR="00037B3E" w:rsidRPr="00CF7A57" w:rsidRDefault="00037B3E" w:rsidP="0961BF5F">
      <w:pPr>
        <w:spacing w:after="0" w:line="240" w:lineRule="auto"/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Am I eligible?</w:t>
      </w:r>
    </w:p>
    <w:p w14:paraId="17C222E9" w14:textId="0348E21B" w:rsidR="00E425AA" w:rsidRPr="00CF7A57" w:rsidRDefault="00037B3E" w:rsidP="0961BF5F">
      <w:pPr>
        <w:numPr>
          <w:ilvl w:val="0"/>
          <w:numId w:val="2"/>
        </w:numPr>
        <w:spacing w:after="0" w:line="240" w:lineRule="auto"/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Grant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: </w:t>
      </w:r>
      <w:r w:rsidR="00DD1449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You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must self-declare </w:t>
      </w:r>
      <w:r w:rsidR="00DD1449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you</w:t>
      </w:r>
      <w:r w:rsidR="7822E19A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r</w:t>
      </w:r>
      <w:r w:rsidR="00350FAA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need</w:t>
      </w:r>
      <w:r w:rsidR="01957E4A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for</w:t>
      </w:r>
      <w:r w:rsidR="00350FAA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financial assistance with maintaining or securing a home</w:t>
      </w:r>
      <w:r w:rsidR="00E425AA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as a result of 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gender-based violence</w:t>
      </w:r>
      <w:r w:rsidR="00E425AA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. You must be 19 years </w:t>
      </w:r>
      <w:r w:rsidR="6F4CEBE6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or older </w:t>
      </w:r>
      <w:r w:rsidR="00E425AA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and </w:t>
      </w:r>
      <w:r w:rsidR="7A276573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residing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in the Yukon. </w:t>
      </w:r>
      <w:r w:rsidR="4F0F93C3" w:rsidRPr="00CF7A57">
        <w:rPr>
          <w:rFonts w:ascii="Nunito Sans" w:eastAsia="Nunito Sans" w:hAnsi="Nunito Sans" w:cs="Nunito Sans"/>
          <w:sz w:val="22"/>
          <w:szCs w:val="22"/>
        </w:rPr>
        <w:t>There are no income requirements.</w:t>
      </w:r>
    </w:p>
    <w:p w14:paraId="2ECC78B7" w14:textId="508AF0CC" w:rsidR="00037B3E" w:rsidRPr="00CF7A57" w:rsidRDefault="00037B3E" w:rsidP="0961BF5F">
      <w:pPr>
        <w:numPr>
          <w:ilvl w:val="0"/>
          <w:numId w:val="2"/>
        </w:numPr>
        <w:spacing w:after="0" w:line="240" w:lineRule="auto"/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Subsidy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: </w:t>
      </w:r>
      <w:r w:rsidR="00DD1449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You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must </w:t>
      </w:r>
      <w:r w:rsidR="00E425AA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be 19 years </w:t>
      </w:r>
      <w:r w:rsidR="19E9B6B9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or older</w:t>
      </w:r>
      <w:r w:rsidR="00E425AA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; a</w:t>
      </w:r>
      <w:r w:rsidR="00DD1449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Yukon resident</w:t>
      </w:r>
      <w:r w:rsidR="00E425AA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;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be a Canadian citizen, permanent resident, or refugee</w:t>
      </w:r>
      <w:r w:rsidR="00E425AA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;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have a household income below the </w:t>
      </w:r>
      <w:hyperlink r:id="rId7" w:history="1">
        <w:r w:rsidRPr="00CF7A57">
          <w:rPr>
            <w:rStyle w:val="Hyperlink"/>
            <w:rFonts w:ascii="Nunito Sans" w:eastAsia="Times New Roman" w:hAnsi="Nunito Sans" w:cs="Times New Roman"/>
            <w:kern w:val="0"/>
            <w:sz w:val="22"/>
            <w:szCs w:val="22"/>
            <w14:ligatures w14:val="none"/>
          </w:rPr>
          <w:t>Affordable Household Income Limits</w:t>
        </w:r>
      </w:hyperlink>
      <w:r w:rsidR="00E425AA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;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possess a valid lease or mortgage</w:t>
      </w:r>
      <w:r w:rsidR="00E425AA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;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and provide third-party verification of GBV. </w:t>
      </w:r>
    </w:p>
    <w:p w14:paraId="753FE270" w14:textId="77777777" w:rsidR="00037B3E" w:rsidRPr="00CF7A57" w:rsidRDefault="00037B3E" w:rsidP="64F43754">
      <w:pPr>
        <w:spacing w:after="0" w:line="240" w:lineRule="auto"/>
        <w:rPr>
          <w:rFonts w:ascii="Nunito Sans" w:eastAsia="Times New Roman" w:hAnsi="Nunito Sans" w:cs="Times New Roman"/>
          <w:b/>
          <w:bCs/>
          <w:kern w:val="0"/>
          <w:sz w:val="32"/>
          <w:szCs w:val="32"/>
          <w14:ligatures w14:val="none"/>
        </w:rPr>
      </w:pPr>
    </w:p>
    <w:p w14:paraId="2EDEDA59" w14:textId="77777777" w:rsidR="00037B3E" w:rsidRPr="00CF7A57" w:rsidRDefault="00037B3E" w:rsidP="0961BF5F">
      <w:pPr>
        <w:spacing w:after="0" w:line="240" w:lineRule="auto"/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How do I apply?</w:t>
      </w:r>
    </w:p>
    <w:p w14:paraId="366B6552" w14:textId="09096C73" w:rsidR="00037B3E" w:rsidRPr="00CF7A57" w:rsidRDefault="00037B3E" w:rsidP="0961BF5F">
      <w:pPr>
        <w:numPr>
          <w:ilvl w:val="0"/>
          <w:numId w:val="3"/>
        </w:numPr>
        <w:spacing w:after="0" w:line="240" w:lineRule="auto"/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Grant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: </w:t>
      </w:r>
      <w:r w:rsidR="00DD1449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You 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must go through </w:t>
      </w:r>
      <w:r w:rsidR="001C376C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a participating organization to complete and submit the </w:t>
      </w:r>
      <w:r w:rsidR="746EFD2A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a</w:t>
      </w:r>
      <w:r w:rsidR="001C376C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pplication </w:t>
      </w:r>
      <w:r w:rsidR="5F814DB2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f</w:t>
      </w:r>
      <w:r w:rsidR="001C376C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orm</w:t>
      </w:r>
      <w:r w:rsidR="00B10C14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. A </w:t>
      </w:r>
      <w:r w:rsidR="001C376C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list of </w:t>
      </w:r>
      <w:r w:rsidR="00B10C14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participating </w:t>
      </w:r>
      <w:r w:rsidR="001C376C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organizations can be found on </w:t>
      </w:r>
      <w:hyperlink r:id="rId8" w:history="1">
        <w:r w:rsidR="001C376C" w:rsidRPr="00CF7A57">
          <w:rPr>
            <w:rStyle w:val="Hyperlink"/>
            <w:rFonts w:ascii="Nunito Sans" w:eastAsia="Times New Roman" w:hAnsi="Nunito Sans" w:cs="Times New Roman"/>
            <w:kern w:val="0"/>
            <w:sz w:val="22"/>
            <w:szCs w:val="22"/>
            <w14:ligatures w14:val="none"/>
          </w:rPr>
          <w:t>YAPC’s website</w:t>
        </w:r>
      </w:hyperlink>
      <w:r w:rsidR="00B10C14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.</w:t>
      </w:r>
    </w:p>
    <w:p w14:paraId="511ABE39" w14:textId="44E5B5C2" w:rsidR="00037B3E" w:rsidRPr="00CF7A57" w:rsidRDefault="00037B3E" w:rsidP="0961BF5F">
      <w:pPr>
        <w:numPr>
          <w:ilvl w:val="0"/>
          <w:numId w:val="3"/>
        </w:numPr>
        <w:spacing w:after="0" w:line="240" w:lineRule="auto"/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Subsidy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: </w:t>
      </w:r>
      <w:r w:rsidR="00DD1449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You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must submit </w:t>
      </w:r>
      <w:r w:rsidR="00DD1449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you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r completed </w:t>
      </w:r>
      <w:hyperlink r:id="rId9" w:history="1">
        <w:r w:rsidR="00DD1449" w:rsidRPr="00CF7A57">
          <w:rPr>
            <w:rStyle w:val="Hyperlink"/>
            <w:rFonts w:ascii="Nunito Sans" w:eastAsia="Times New Roman" w:hAnsi="Nunito Sans" w:cs="Times New Roman"/>
            <w:kern w:val="0"/>
            <w:sz w:val="22"/>
            <w:szCs w:val="22"/>
            <w14:ligatures w14:val="none"/>
          </w:rPr>
          <w:t>application</w:t>
        </w:r>
      </w:hyperlink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and required documentation directly to Yukon Housing by mail, fax, email, or in person.</w:t>
      </w:r>
    </w:p>
    <w:p w14:paraId="4CC945D0" w14:textId="30261DA7" w:rsidR="001C376C" w:rsidRPr="00CF7A57" w:rsidRDefault="001C376C" w:rsidP="0961BF5F">
      <w:pPr>
        <w:numPr>
          <w:ilvl w:val="1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Nunito Sans" w:hAnsi="Nunito Sans"/>
          <w:color w:val="000000"/>
          <w:sz w:val="22"/>
          <w:szCs w:val="22"/>
        </w:rPr>
      </w:pPr>
      <w:r w:rsidRPr="00CF7A57">
        <w:rPr>
          <w:rFonts w:ascii="Nunito Sans" w:hAnsi="Nunito Sans"/>
          <w:color w:val="000000" w:themeColor="text1"/>
          <w:sz w:val="22"/>
          <w:szCs w:val="22"/>
        </w:rPr>
        <w:t>In person: Drop application at a local Yukon Housing office</w:t>
      </w:r>
    </w:p>
    <w:p w14:paraId="60881B92" w14:textId="193FD5F6" w:rsidR="001C376C" w:rsidRPr="00CF7A57" w:rsidRDefault="001C376C" w:rsidP="0961BF5F">
      <w:pPr>
        <w:numPr>
          <w:ilvl w:val="1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Nunito Sans" w:hAnsi="Nunito Sans"/>
          <w:color w:val="000000"/>
          <w:sz w:val="22"/>
          <w:szCs w:val="22"/>
        </w:rPr>
      </w:pPr>
      <w:r w:rsidRPr="00CF7A57">
        <w:rPr>
          <w:rFonts w:ascii="Nunito Sans" w:hAnsi="Nunito Sans"/>
          <w:color w:val="000000" w:themeColor="text1"/>
          <w:sz w:val="22"/>
          <w:szCs w:val="22"/>
        </w:rPr>
        <w:t xml:space="preserve">Email: </w:t>
      </w:r>
      <w:hyperlink r:id="rId10">
        <w:r w:rsidRPr="00CF7A57">
          <w:rPr>
            <w:rStyle w:val="Hyperlink"/>
            <w:rFonts w:ascii="Nunito Sans" w:hAnsi="Nunito Sans"/>
            <w:sz w:val="22"/>
            <w:szCs w:val="22"/>
          </w:rPr>
          <w:t>gbvhousingbenefit@yukon.ca</w:t>
        </w:r>
      </w:hyperlink>
      <w:r w:rsidRPr="00CF7A57">
        <w:rPr>
          <w:rFonts w:ascii="Nunito Sans" w:hAnsi="Nunito Sans"/>
          <w:color w:val="000000" w:themeColor="text1"/>
          <w:sz w:val="22"/>
          <w:szCs w:val="22"/>
        </w:rPr>
        <w:t xml:space="preserve"> </w:t>
      </w:r>
    </w:p>
    <w:p w14:paraId="6096962A" w14:textId="77777777" w:rsidR="001C376C" w:rsidRPr="00CF7A57" w:rsidRDefault="001C376C" w:rsidP="0961BF5F">
      <w:pPr>
        <w:numPr>
          <w:ilvl w:val="1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Nunito Sans" w:hAnsi="Nunito Sans"/>
          <w:color w:val="000000"/>
          <w:sz w:val="22"/>
          <w:szCs w:val="22"/>
        </w:rPr>
      </w:pPr>
      <w:r w:rsidRPr="00CF7A57">
        <w:rPr>
          <w:rFonts w:ascii="Nunito Sans" w:hAnsi="Nunito Sans"/>
          <w:color w:val="000000" w:themeColor="text1"/>
          <w:sz w:val="22"/>
          <w:szCs w:val="22"/>
        </w:rPr>
        <w:t>Fax: 867-393-7597</w:t>
      </w:r>
    </w:p>
    <w:p w14:paraId="74275CC9" w14:textId="18FF2C54" w:rsidR="001C376C" w:rsidRPr="00CF7A57" w:rsidRDefault="001C376C" w:rsidP="0961BF5F">
      <w:pPr>
        <w:numPr>
          <w:ilvl w:val="1"/>
          <w:numId w:val="3"/>
        </w:numPr>
        <w:shd w:val="clear" w:color="auto" w:fill="FFFFFF" w:themeFill="background1"/>
        <w:spacing w:after="0" w:line="240" w:lineRule="auto"/>
        <w:rPr>
          <w:rFonts w:ascii="Nunito Sans" w:hAnsi="Nunito Sans"/>
          <w:color w:val="000000"/>
          <w:sz w:val="22"/>
          <w:szCs w:val="22"/>
        </w:rPr>
      </w:pPr>
      <w:r w:rsidRPr="00CF7A57">
        <w:rPr>
          <w:rFonts w:ascii="Nunito Sans" w:hAnsi="Nunito Sans"/>
          <w:color w:val="000000" w:themeColor="text1"/>
          <w:sz w:val="22"/>
          <w:szCs w:val="22"/>
        </w:rPr>
        <w:t>Mail:</w:t>
      </w:r>
      <w:r w:rsidR="005364AB" w:rsidRPr="00CF7A57">
        <w:rPr>
          <w:rFonts w:ascii="Nunito Sans" w:hAnsi="Nunito Sans"/>
          <w:sz w:val="22"/>
          <w:szCs w:val="22"/>
        </w:rPr>
        <w:t xml:space="preserve"> </w:t>
      </w:r>
      <w:r w:rsidRPr="00CF7A57">
        <w:rPr>
          <w:rFonts w:ascii="Nunito Sans" w:hAnsi="Nunito Sans"/>
          <w:color w:val="000000" w:themeColor="text1"/>
          <w:sz w:val="22"/>
          <w:szCs w:val="22"/>
        </w:rPr>
        <w:t xml:space="preserve">Yukon Housing </w:t>
      </w:r>
    </w:p>
    <w:p w14:paraId="2C65CD20" w14:textId="77777777" w:rsidR="004626B0" w:rsidRPr="00CF7A57" w:rsidRDefault="001C376C" w:rsidP="0961BF5F">
      <w:pPr>
        <w:shd w:val="clear" w:color="auto" w:fill="FFFFFF" w:themeFill="background1"/>
        <w:spacing w:after="0" w:line="240" w:lineRule="auto"/>
        <w:ind w:left="1701"/>
        <w:rPr>
          <w:rFonts w:ascii="Nunito Sans" w:hAnsi="Nunito Sans"/>
          <w:color w:val="000000"/>
          <w:sz w:val="22"/>
          <w:szCs w:val="22"/>
        </w:rPr>
      </w:pPr>
      <w:r w:rsidRPr="00CF7A57">
        <w:rPr>
          <w:rFonts w:ascii="Nunito Sans" w:hAnsi="Nunito Sans"/>
          <w:color w:val="000000" w:themeColor="text1"/>
          <w:sz w:val="22"/>
          <w:szCs w:val="22"/>
        </w:rPr>
        <w:t>Box 2703 (Y-1)</w:t>
      </w:r>
    </w:p>
    <w:p w14:paraId="38CCC19A" w14:textId="51AE725A" w:rsidR="001C376C" w:rsidRPr="00CF7A57" w:rsidRDefault="001C376C" w:rsidP="0961BF5F">
      <w:pPr>
        <w:shd w:val="clear" w:color="auto" w:fill="FFFFFF" w:themeFill="background1"/>
        <w:spacing w:after="0" w:line="240" w:lineRule="auto"/>
        <w:ind w:left="1701"/>
        <w:rPr>
          <w:rFonts w:ascii="Nunito Sans" w:hAnsi="Nunito Sans"/>
          <w:color w:val="000000"/>
          <w:sz w:val="22"/>
          <w:szCs w:val="22"/>
        </w:rPr>
      </w:pPr>
      <w:r w:rsidRPr="00CF7A57">
        <w:rPr>
          <w:rFonts w:ascii="Nunito Sans" w:hAnsi="Nunito Sans"/>
          <w:color w:val="000000" w:themeColor="text1"/>
          <w:sz w:val="22"/>
          <w:szCs w:val="22"/>
        </w:rPr>
        <w:t>Whitehorse, Yukon Y1A 2C6</w:t>
      </w:r>
    </w:p>
    <w:p w14:paraId="0A007CD5" w14:textId="77777777" w:rsidR="00037B3E" w:rsidRPr="00CF7A57" w:rsidRDefault="00037B3E" w:rsidP="64F43754">
      <w:pPr>
        <w:spacing w:after="0" w:line="240" w:lineRule="auto"/>
        <w:rPr>
          <w:rFonts w:ascii="Nunito Sans" w:eastAsia="Times New Roman" w:hAnsi="Nunito Sans" w:cs="Times New Roman"/>
          <w:b/>
          <w:bCs/>
          <w:kern w:val="0"/>
          <w:sz w:val="32"/>
          <w:szCs w:val="32"/>
          <w14:ligatures w14:val="none"/>
        </w:rPr>
      </w:pPr>
    </w:p>
    <w:p w14:paraId="4FC1AEFA" w14:textId="77777777" w:rsidR="00037B3E" w:rsidRPr="00CF7A57" w:rsidRDefault="00037B3E" w:rsidP="0961BF5F">
      <w:pPr>
        <w:spacing w:after="0" w:line="240" w:lineRule="auto"/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What documents are required?</w:t>
      </w:r>
    </w:p>
    <w:p w14:paraId="54627E1E" w14:textId="0E6C4CDA" w:rsidR="00037B3E" w:rsidRPr="00CF7A57" w:rsidRDefault="00037B3E" w:rsidP="0961BF5F">
      <w:pPr>
        <w:numPr>
          <w:ilvl w:val="0"/>
          <w:numId w:val="4"/>
        </w:numPr>
        <w:spacing w:after="0" w:line="240" w:lineRule="auto"/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lastRenderedPageBreak/>
        <w:t>Grant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: No identification or income documentation is required. An intake worker </w:t>
      </w:r>
      <w:r w:rsidR="00B10C14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from a participating organization </w:t>
      </w:r>
      <w:r w:rsidR="569E3034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or government department 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will assist </w:t>
      </w:r>
      <w:r w:rsidR="00DD1449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you 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with </w:t>
      </w:r>
      <w:r w:rsidR="00E425AA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completing the </w:t>
      </w:r>
      <w:r w:rsidR="6E19A3EC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a</w:t>
      </w:r>
      <w:r w:rsidR="00E425AA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pplication </w:t>
      </w:r>
      <w:r w:rsidR="1011791F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f</w:t>
      </w:r>
      <w:r w:rsidR="00E425AA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orm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.</w:t>
      </w:r>
      <w:r w:rsidR="00E425AA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Proof of housing is required for funds to be released.</w:t>
      </w:r>
    </w:p>
    <w:p w14:paraId="38C616DE" w14:textId="604658F0" w:rsidR="00037B3E" w:rsidRPr="00CF7A57" w:rsidRDefault="00037B3E" w:rsidP="0961BF5F">
      <w:pPr>
        <w:numPr>
          <w:ilvl w:val="0"/>
          <w:numId w:val="4"/>
        </w:numPr>
        <w:spacing w:after="0" w:line="240" w:lineRule="auto"/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Subsidy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: </w:t>
      </w:r>
      <w:r w:rsidR="00DD1449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You 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must provide a piece of government issued </w:t>
      </w:r>
      <w:r w:rsidR="00E425AA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photo 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ID, </w:t>
      </w:r>
      <w:r w:rsidR="00DD1449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your most recent 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Notice of Assessment, </w:t>
      </w:r>
      <w:r w:rsidR="001C376C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a completed </w:t>
      </w:r>
      <w:r w:rsidR="00422129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Application Form and </w:t>
      </w:r>
      <w:r w:rsidR="001C376C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GBV Verification Form, and 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a copy of your current lease or mortgage agreement. </w:t>
      </w:r>
    </w:p>
    <w:p w14:paraId="669D2DC9" w14:textId="577BABAE" w:rsidR="00037B3E" w:rsidRPr="00CF7A57" w:rsidRDefault="00037B3E" w:rsidP="0961BF5F">
      <w:pPr>
        <w:spacing w:after="0" w:line="240" w:lineRule="auto"/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Do I need a lease to qualify?</w:t>
      </w:r>
    </w:p>
    <w:p w14:paraId="36F2559B" w14:textId="7A6E316A" w:rsidR="00037B3E" w:rsidRPr="00CF7A57" w:rsidRDefault="00037B3E" w:rsidP="0961BF5F">
      <w:pPr>
        <w:pStyle w:val="ListParagraph"/>
        <w:numPr>
          <w:ilvl w:val="0"/>
          <w:numId w:val="9"/>
        </w:numPr>
        <w:spacing w:after="0" w:line="240" w:lineRule="auto"/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Grant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: A lease is not required at time of application, but proof of housing</w:t>
      </w:r>
      <w:r w:rsidR="00B10C14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and its monthly cost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is required before funds can be disbursed. </w:t>
      </w:r>
    </w:p>
    <w:p w14:paraId="09CAF022" w14:textId="1B895D4E" w:rsidR="00037B3E" w:rsidRPr="00CF7A57" w:rsidRDefault="00037B3E" w:rsidP="0961BF5F">
      <w:pPr>
        <w:pStyle w:val="ListParagraph"/>
        <w:numPr>
          <w:ilvl w:val="0"/>
          <w:numId w:val="9"/>
        </w:numPr>
        <w:spacing w:after="0" w:line="240" w:lineRule="auto"/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Subsidy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: </w:t>
      </w:r>
      <w:r w:rsidR="6D80E61D" w:rsidRPr="00CF7A57">
        <w:rPr>
          <w:rFonts w:ascii="Nunito Sans" w:eastAsia="Nunito Sans" w:hAnsi="Nunito Sans" w:cs="Nunito Sans"/>
          <w:sz w:val="22"/>
          <w:szCs w:val="22"/>
        </w:rPr>
        <w:t>Yes. You must provide a valid lease or mortgage agreement within 3 to 4 business days of submitting your application.</w:t>
      </w:r>
    </w:p>
    <w:p w14:paraId="694AECDB" w14:textId="1C7A6980" w:rsidR="0961BF5F" w:rsidRPr="00CF7A57" w:rsidRDefault="0961BF5F" w:rsidP="64F43754">
      <w:pPr>
        <w:spacing w:after="0" w:line="240" w:lineRule="auto"/>
        <w:ind w:left="360"/>
        <w:rPr>
          <w:rFonts w:ascii="Nunito Sans" w:eastAsia="Times New Roman" w:hAnsi="Nunito Sans" w:cs="Times New Roman"/>
          <w:b/>
          <w:bCs/>
          <w:sz w:val="32"/>
          <w:szCs w:val="32"/>
        </w:rPr>
      </w:pPr>
    </w:p>
    <w:p w14:paraId="26185F0A" w14:textId="77777777" w:rsidR="00037B3E" w:rsidRPr="00CF7A57" w:rsidRDefault="00037B3E" w:rsidP="0961BF5F">
      <w:pPr>
        <w:spacing w:after="0" w:line="240" w:lineRule="auto"/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How long will I wait for decisions and payment?</w:t>
      </w:r>
    </w:p>
    <w:p w14:paraId="1002B7C3" w14:textId="154B694E" w:rsidR="00037B3E" w:rsidRPr="00CF7A57" w:rsidRDefault="00037B3E" w:rsidP="0961BF5F">
      <w:pPr>
        <w:numPr>
          <w:ilvl w:val="0"/>
          <w:numId w:val="5"/>
        </w:numPr>
        <w:spacing w:after="0" w:line="240" w:lineRule="auto"/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Grant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: Decisions are made within </w:t>
      </w:r>
      <w:r w:rsidR="581728E9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24-72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</w:t>
      </w:r>
      <w:r w:rsidR="094DA8CC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hours </w:t>
      </w:r>
      <w:r w:rsidR="00B10C14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of application 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and paymen</w:t>
      </w:r>
      <w:r w:rsidR="00B10C14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t is 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issued within 3 to 5</w:t>
      </w:r>
      <w:r w:rsidR="0F2A0B50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business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days. </w:t>
      </w:r>
      <w:r w:rsidR="00B10C14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Times may vary depending on the complexity of </w:t>
      </w:r>
      <w:r w:rsidR="00DD1449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your </w:t>
      </w:r>
      <w:r w:rsidR="00B10C14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application. </w:t>
      </w:r>
    </w:p>
    <w:p w14:paraId="53505EFF" w14:textId="260C3DD1" w:rsidR="00037B3E" w:rsidRPr="00CF7A57" w:rsidRDefault="00037B3E" w:rsidP="0961BF5F">
      <w:pPr>
        <w:numPr>
          <w:ilvl w:val="0"/>
          <w:numId w:val="5"/>
        </w:numPr>
        <w:spacing w:after="0" w:line="240" w:lineRule="auto"/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Subsidy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: </w:t>
      </w:r>
      <w:r w:rsidR="7FB4E948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Decisions are made within 24-72 hours of application and p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ayment is processed within two weeks after application approval. </w:t>
      </w:r>
    </w:p>
    <w:p w14:paraId="4D594E74" w14:textId="77777777" w:rsidR="00037B3E" w:rsidRPr="00CF7A57" w:rsidRDefault="00037B3E" w:rsidP="64F43754">
      <w:pPr>
        <w:spacing w:after="0" w:line="240" w:lineRule="auto"/>
        <w:rPr>
          <w:rFonts w:ascii="Nunito Sans" w:eastAsia="Times New Roman" w:hAnsi="Nunito Sans" w:cs="Times New Roman"/>
          <w:b/>
          <w:bCs/>
          <w:kern w:val="0"/>
          <w:sz w:val="32"/>
          <w:szCs w:val="32"/>
          <w14:ligatures w14:val="none"/>
        </w:rPr>
      </w:pPr>
    </w:p>
    <w:p w14:paraId="5EAE0782" w14:textId="687F2DA4" w:rsidR="00037B3E" w:rsidRPr="00CF7A57" w:rsidRDefault="00037B3E" w:rsidP="0961BF5F">
      <w:pPr>
        <w:spacing w:after="0" w:line="240" w:lineRule="auto"/>
        <w:rPr>
          <w:rFonts w:ascii="Nunito Sans" w:eastAsia="Aptos" w:hAnsi="Nunito Sans" w:cs="Aptos"/>
          <w:sz w:val="22"/>
          <w:szCs w:val="22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 xml:space="preserve">Can I </w:t>
      </w:r>
      <w:r w:rsidR="296A948B"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 xml:space="preserve">apply for </w:t>
      </w: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 xml:space="preserve">both </w:t>
      </w:r>
      <w:r w:rsidR="00DD1449"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 xml:space="preserve">the </w:t>
      </w: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Grant and Subsidy?</w:t>
      </w:r>
      <w:r w:rsidRPr="00CF7A57">
        <w:rPr>
          <w:rFonts w:ascii="Nunito Sans" w:eastAsia="Times New Roman" w:hAnsi="Nunito Sans" w:cs="Times New Roman"/>
          <w:kern w:val="0"/>
          <w14:ligatures w14:val="none"/>
        </w:rPr>
        <w:br/>
      </w:r>
      <w:r w:rsidR="5FEF2B7D" w:rsidRPr="00CF7A57">
        <w:rPr>
          <w:rFonts w:ascii="Nunito Sans" w:eastAsia="nun" w:hAnsi="Nunito Sans" w:cs="nun"/>
          <w:sz w:val="22"/>
          <w:szCs w:val="22"/>
        </w:rPr>
        <w:t>Yes, you can apply for both. It’s recommended to apply at the same time so the subsidy can start right after the grant.</w:t>
      </w:r>
    </w:p>
    <w:p w14:paraId="19DEB89B" w14:textId="31D362B4" w:rsidR="62E68F25" w:rsidRPr="00CF7A57" w:rsidRDefault="62E68F25" w:rsidP="64F43754">
      <w:pPr>
        <w:spacing w:after="0" w:line="240" w:lineRule="auto"/>
        <w:rPr>
          <w:rFonts w:ascii="Nunito Sans" w:eastAsia="Aptos" w:hAnsi="Nunito Sans" w:cs="Aptos"/>
          <w:sz w:val="32"/>
          <w:szCs w:val="32"/>
        </w:rPr>
      </w:pPr>
    </w:p>
    <w:p w14:paraId="496CDCF1" w14:textId="77BBBA1E" w:rsidR="00037B3E" w:rsidRPr="00CF7A57" w:rsidRDefault="00037B3E" w:rsidP="0961BF5F">
      <w:pPr>
        <w:spacing w:after="0" w:line="240" w:lineRule="auto"/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 xml:space="preserve">Does this count as income or affect </w:t>
      </w:r>
      <w:r w:rsidR="00422129"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 xml:space="preserve">other funding </w:t>
      </w: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benefits?</w:t>
      </w:r>
    </w:p>
    <w:p w14:paraId="7064F43F" w14:textId="77777777" w:rsidR="00037B3E" w:rsidRPr="00CF7A57" w:rsidRDefault="00037B3E" w:rsidP="0961BF5F">
      <w:pPr>
        <w:numPr>
          <w:ilvl w:val="0"/>
          <w:numId w:val="6"/>
        </w:numPr>
        <w:spacing w:after="0" w:line="240" w:lineRule="auto"/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Grant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: It is not considered income and does not affect Canada Child Benefit or other benefits.</w:t>
      </w:r>
    </w:p>
    <w:p w14:paraId="6BFB07E6" w14:textId="22267BAE" w:rsidR="00037B3E" w:rsidRPr="00CF7A57" w:rsidRDefault="00037B3E" w:rsidP="0961BF5F">
      <w:pPr>
        <w:numPr>
          <w:ilvl w:val="0"/>
          <w:numId w:val="6"/>
        </w:numPr>
        <w:spacing w:after="0" w:line="240" w:lineRule="auto"/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Subsidy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: It is</w:t>
      </w:r>
      <w:r w:rsidR="581285E3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considered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</w:t>
      </w:r>
      <w:r w:rsidR="77175B27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non-taxable income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. It does affect the Canada Child </w:t>
      </w:r>
      <w:r w:rsidR="00A914F8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Benefit but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does not affect other benefits provided in the Yukon.</w:t>
      </w:r>
    </w:p>
    <w:p w14:paraId="186AFBDE" w14:textId="77777777" w:rsidR="00037B3E" w:rsidRPr="00CF7A57" w:rsidRDefault="00037B3E" w:rsidP="64F43754">
      <w:pPr>
        <w:spacing w:after="0" w:line="240" w:lineRule="auto"/>
        <w:rPr>
          <w:rFonts w:ascii="Nunito Sans" w:eastAsia="Times New Roman" w:hAnsi="Nunito Sans" w:cs="Times New Roman"/>
          <w:kern w:val="0"/>
          <w:sz w:val="32"/>
          <w:szCs w:val="32"/>
          <w14:ligatures w14:val="none"/>
        </w:rPr>
      </w:pPr>
    </w:p>
    <w:p w14:paraId="5B4D2A1F" w14:textId="163C9886" w:rsidR="00037B3E" w:rsidRPr="00CF7A57" w:rsidRDefault="00037B3E" w:rsidP="0961BF5F">
      <w:pPr>
        <w:spacing w:after="0" w:line="240" w:lineRule="auto"/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 xml:space="preserve">Can I use the </w:t>
      </w:r>
      <w:r w:rsidR="00B10C14"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 xml:space="preserve">money </w:t>
      </w: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for short-term housing?</w:t>
      </w:r>
    </w:p>
    <w:p w14:paraId="4EF7731F" w14:textId="0368A90B" w:rsidR="00B10C14" w:rsidRPr="00CF7A57" w:rsidRDefault="00B10C14" w:rsidP="0961BF5F">
      <w:pPr>
        <w:numPr>
          <w:ilvl w:val="0"/>
          <w:numId w:val="6"/>
        </w:numPr>
        <w:spacing w:after="0" w:line="240" w:lineRule="auto"/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Grant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: Yes, funds can be used for short-term housing</w:t>
      </w:r>
      <w:r w:rsidR="00F14F70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if deemed a necessity.</w:t>
      </w:r>
      <w:r w:rsidR="00DD1449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</w:t>
      </w:r>
    </w:p>
    <w:p w14:paraId="06085730" w14:textId="3D609D41" w:rsidR="00B10C14" w:rsidRPr="00CF7A57" w:rsidRDefault="00B10C14" w:rsidP="64F43754">
      <w:pPr>
        <w:numPr>
          <w:ilvl w:val="0"/>
          <w:numId w:val="6"/>
        </w:numPr>
        <w:spacing w:after="0" w:line="240" w:lineRule="auto"/>
        <w:rPr>
          <w:rFonts w:ascii="Nunito Sans" w:eastAsia="Times New Roman" w:hAnsi="Nunito Sans" w:cs="Times New Roman"/>
          <w:sz w:val="22"/>
          <w:szCs w:val="22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Subsidy</w:t>
      </w:r>
      <w:r w:rsidRPr="00CF7A57">
        <w:rPr>
          <w:rFonts w:ascii="Nunito Sans" w:eastAsiaTheme="minorEastAsia" w:hAnsi="Nunito Sans"/>
          <w:sz w:val="22"/>
          <w:szCs w:val="22"/>
        </w:rPr>
        <w:t xml:space="preserve">: </w:t>
      </w:r>
      <w:r w:rsidR="439B7582" w:rsidRPr="00CF7A57">
        <w:rPr>
          <w:rFonts w:ascii="Nunito Sans" w:eastAsiaTheme="minorEastAsia" w:hAnsi="Nunito Sans"/>
          <w:sz w:val="22"/>
          <w:szCs w:val="22"/>
        </w:rPr>
        <w:t>Yes. You can use the subsidy for any type of housing as long as you have a valid lease.</w:t>
      </w:r>
    </w:p>
    <w:p w14:paraId="072B70A1" w14:textId="77777777" w:rsidR="00037B3E" w:rsidRPr="00CF7A57" w:rsidRDefault="00037B3E" w:rsidP="64F43754">
      <w:pPr>
        <w:spacing w:after="0" w:line="240" w:lineRule="auto"/>
        <w:rPr>
          <w:rFonts w:ascii="Nunito Sans" w:eastAsia="Times New Roman" w:hAnsi="Nunito Sans" w:cs="Times New Roman"/>
          <w:sz w:val="32"/>
          <w:szCs w:val="32"/>
        </w:rPr>
      </w:pPr>
    </w:p>
    <w:p w14:paraId="47A6AD66" w14:textId="36444E22" w:rsidR="00037B3E" w:rsidRPr="00CF7A57" w:rsidRDefault="00037B3E" w:rsidP="64F43754">
      <w:pPr>
        <w:spacing w:after="0" w:line="240" w:lineRule="auto"/>
        <w:rPr>
          <w:rFonts w:ascii="Nunito Sans" w:eastAsiaTheme="minorEastAsia" w:hAnsi="Nunito Sans"/>
          <w:sz w:val="22"/>
          <w:szCs w:val="22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What happens if I move out of Yukon?</w:t>
      </w:r>
      <w:r w:rsidRPr="00CF7A57">
        <w:rPr>
          <w:rFonts w:ascii="Nunito Sans" w:eastAsia="Times New Roman" w:hAnsi="Nunito Sans" w:cs="Times New Roman"/>
          <w:kern w:val="0"/>
          <w14:ligatures w14:val="none"/>
        </w:rPr>
        <w:br/>
      </w:r>
      <w:r w:rsidR="2CC84FDC" w:rsidRPr="00CF7A57">
        <w:rPr>
          <w:rFonts w:ascii="Nunito Sans" w:eastAsiaTheme="minorEastAsia" w:hAnsi="Nunito Sans"/>
          <w:sz w:val="22"/>
          <w:szCs w:val="22"/>
        </w:rPr>
        <w:t>If you move out of the Yukon, your funding will end. You may be eligible for a similar program in your new province or territory, but funding and criteria may differ.</w:t>
      </w:r>
    </w:p>
    <w:p w14:paraId="3230C695" w14:textId="77777777" w:rsidR="00037B3E" w:rsidRPr="00CF7A57" w:rsidRDefault="00037B3E" w:rsidP="64F43754">
      <w:pPr>
        <w:spacing w:after="0" w:line="240" w:lineRule="auto"/>
        <w:rPr>
          <w:rFonts w:ascii="Nunito Sans" w:eastAsiaTheme="minorEastAsia" w:hAnsi="Nunito Sans"/>
          <w:sz w:val="32"/>
          <w:szCs w:val="32"/>
        </w:rPr>
      </w:pPr>
    </w:p>
    <w:p w14:paraId="143F21E4" w14:textId="676E2B30" w:rsidR="00037B3E" w:rsidRPr="00CF7A57" w:rsidRDefault="00037B3E" w:rsidP="0961BF5F">
      <w:pPr>
        <w:spacing w:after="0" w:line="240" w:lineRule="auto"/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 xml:space="preserve">Can I re-apply? </w:t>
      </w:r>
    </w:p>
    <w:p w14:paraId="5503E08C" w14:textId="532E7993" w:rsidR="00037B3E" w:rsidRPr="00CF7A57" w:rsidRDefault="00422129" w:rsidP="0961BF5F">
      <w:pPr>
        <w:pStyle w:val="ListParagraph"/>
        <w:numPr>
          <w:ilvl w:val="0"/>
          <w:numId w:val="11"/>
        </w:numPr>
        <w:spacing w:after="0" w:line="240" w:lineRule="auto"/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Grant: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</w:t>
      </w:r>
      <w:r w:rsidR="00037B3E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Yes, you may re-apply if you need to relocate again due to safety concerns. </w:t>
      </w:r>
    </w:p>
    <w:p w14:paraId="3CE7A553" w14:textId="0868F750" w:rsidR="00422129" w:rsidRPr="00CF7A57" w:rsidRDefault="00422129" w:rsidP="64F43754">
      <w:pPr>
        <w:pStyle w:val="ListParagraph"/>
        <w:numPr>
          <w:ilvl w:val="0"/>
          <w:numId w:val="11"/>
        </w:numPr>
        <w:spacing w:after="0" w:line="240" w:lineRule="auto"/>
        <w:rPr>
          <w:rFonts w:ascii="Nunito Sans" w:eastAsia="Times New Roman" w:hAnsi="Nunito Sans" w:cs="Times New Roman"/>
          <w:sz w:val="22"/>
          <w:szCs w:val="22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Subsidy: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</w:t>
      </w:r>
      <w:r w:rsidR="1F571C98" w:rsidRPr="00CF7A57">
        <w:rPr>
          <w:rFonts w:ascii="Nunito Sans" w:eastAsiaTheme="minorEastAsia" w:hAnsi="Nunito Sans"/>
          <w:sz w:val="22"/>
          <w:szCs w:val="22"/>
        </w:rPr>
        <w:t>Yes. You can re-apply to receive the subsidy for up to 18 months in total.</w:t>
      </w:r>
    </w:p>
    <w:p w14:paraId="10CA47F5" w14:textId="77777777" w:rsidR="00037B3E" w:rsidRPr="00CF7A57" w:rsidRDefault="00037B3E" w:rsidP="64F43754">
      <w:pPr>
        <w:spacing w:after="0" w:line="240" w:lineRule="auto"/>
        <w:rPr>
          <w:rFonts w:ascii="Nunito Sans" w:eastAsia="Times New Roman" w:hAnsi="Nunito Sans" w:cs="Times New Roman"/>
          <w:b/>
          <w:bCs/>
          <w:kern w:val="0"/>
          <w:sz w:val="32"/>
          <w:szCs w:val="32"/>
          <w14:ligatures w14:val="none"/>
        </w:rPr>
      </w:pPr>
    </w:p>
    <w:p w14:paraId="3B374777" w14:textId="0BFC76EE" w:rsidR="00037B3E" w:rsidRPr="00CF7A57" w:rsidRDefault="00037B3E" w:rsidP="0961BF5F">
      <w:pPr>
        <w:spacing w:after="0" w:line="240" w:lineRule="auto"/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lastRenderedPageBreak/>
        <w:t xml:space="preserve">What if I don’t agree with </w:t>
      </w:r>
      <w:r w:rsidR="00422129"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 xml:space="preserve">my eligibility </w:t>
      </w: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decision?</w:t>
      </w:r>
    </w:p>
    <w:p w14:paraId="52BD6251" w14:textId="23032884" w:rsidR="00037B3E" w:rsidRPr="00CF7A57" w:rsidRDefault="00037B3E" w:rsidP="0961BF5F">
      <w:pPr>
        <w:numPr>
          <w:ilvl w:val="0"/>
          <w:numId w:val="7"/>
        </w:numPr>
        <w:spacing w:after="0" w:line="240" w:lineRule="auto"/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Grant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: </w:t>
      </w:r>
      <w:r w:rsidR="009C408E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Decisions are final, but you may re</w:t>
      </w:r>
      <w:r w:rsidR="009C408E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noBreakHyphen/>
        <w:t>apply if your circumstances or the information you provided changes.</w:t>
      </w:r>
    </w:p>
    <w:p w14:paraId="46719F35" w14:textId="1B1356A1" w:rsidR="00037B3E" w:rsidRPr="00CF7A57" w:rsidRDefault="00037B3E" w:rsidP="0961BF5F">
      <w:pPr>
        <w:numPr>
          <w:ilvl w:val="0"/>
          <w:numId w:val="7"/>
        </w:numPr>
        <w:spacing w:after="0" w:line="240" w:lineRule="auto"/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Subsidy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: You can request a review via Yukon Housing’s Tenancy Supports Branch.</w:t>
      </w:r>
    </w:p>
    <w:p w14:paraId="0FF58FAB" w14:textId="77777777" w:rsidR="00037B3E" w:rsidRPr="00CF7A57" w:rsidRDefault="00037B3E" w:rsidP="64F43754">
      <w:pPr>
        <w:spacing w:after="0" w:line="240" w:lineRule="auto"/>
        <w:rPr>
          <w:rFonts w:ascii="Nunito Sans" w:hAnsi="Nunito Sans"/>
          <w:b/>
          <w:bCs/>
          <w:color w:val="E97032"/>
          <w:sz w:val="32"/>
          <w:szCs w:val="32"/>
        </w:rPr>
      </w:pPr>
    </w:p>
    <w:p w14:paraId="5A955DAC" w14:textId="01E33E15" w:rsidR="00037B3E" w:rsidRPr="00CF7A57" w:rsidRDefault="00B10C14" w:rsidP="0961BF5F">
      <w:pPr>
        <w:spacing w:after="0" w:line="240" w:lineRule="auto"/>
        <w:rPr>
          <w:rFonts w:ascii="Nunito Sans" w:hAnsi="Nunito Sans"/>
          <w:b/>
          <w:bCs/>
          <w:sz w:val="22"/>
          <w:szCs w:val="22"/>
        </w:rPr>
      </w:pPr>
      <w:r w:rsidRPr="00CF7A57">
        <w:rPr>
          <w:rFonts w:ascii="Nunito Sans" w:hAnsi="Nunito Sans"/>
          <w:b/>
          <w:bCs/>
          <w:sz w:val="22"/>
          <w:szCs w:val="22"/>
        </w:rPr>
        <w:t xml:space="preserve">Where can I find more information? </w:t>
      </w:r>
    </w:p>
    <w:p w14:paraId="124B4A43" w14:textId="1818F548" w:rsidR="00B10C14" w:rsidRPr="00CF7A57" w:rsidRDefault="00B10C14" w:rsidP="0961BF5F">
      <w:pPr>
        <w:numPr>
          <w:ilvl w:val="0"/>
          <w:numId w:val="7"/>
        </w:numPr>
        <w:spacing w:after="0" w:line="240" w:lineRule="auto"/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Grant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>:</w:t>
      </w:r>
      <w:r w:rsidR="00DE244B"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 </w:t>
      </w:r>
      <w:hyperlink r:id="rId11" w:history="1">
        <w:r w:rsidR="00DE244B" w:rsidRPr="00DE244B">
          <w:rPr>
            <w:rStyle w:val="Hyperlink"/>
            <w:rFonts w:ascii="Nunito Sans" w:eastAsia="Times New Roman" w:hAnsi="Nunito Sans" w:cs="Times New Roman"/>
            <w:kern w:val="0"/>
            <w:sz w:val="22"/>
            <w:szCs w:val="22"/>
            <w14:ligatures w14:val="none"/>
          </w:rPr>
          <w:t>https://yapc.ca/fund-administration/yapc-gbv-grant</w:t>
        </w:r>
      </w:hyperlink>
    </w:p>
    <w:p w14:paraId="4C2081A5" w14:textId="62AD1292" w:rsidR="00B10C14" w:rsidRPr="00CF7A57" w:rsidRDefault="00B10C14" w:rsidP="0961BF5F">
      <w:pPr>
        <w:numPr>
          <w:ilvl w:val="0"/>
          <w:numId w:val="7"/>
        </w:numPr>
        <w:spacing w:after="0" w:line="240" w:lineRule="auto"/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</w:pPr>
      <w:r w:rsidRPr="00CF7A57">
        <w:rPr>
          <w:rFonts w:ascii="Nunito Sans" w:eastAsia="Times New Roman" w:hAnsi="Nunito Sans" w:cs="Times New Roman"/>
          <w:b/>
          <w:bCs/>
          <w:kern w:val="0"/>
          <w:sz w:val="22"/>
          <w:szCs w:val="22"/>
          <w14:ligatures w14:val="none"/>
        </w:rPr>
        <w:t>Subsidy</w:t>
      </w:r>
      <w:r w:rsidRPr="00CF7A57">
        <w:rPr>
          <w:rFonts w:ascii="Nunito Sans" w:eastAsia="Times New Roman" w:hAnsi="Nunito Sans" w:cs="Times New Roman"/>
          <w:kern w:val="0"/>
          <w:sz w:val="22"/>
          <w:szCs w:val="22"/>
          <w14:ligatures w14:val="none"/>
        </w:rPr>
        <w:t xml:space="preserve">: </w:t>
      </w:r>
      <w:hyperlink r:id="rId12" w:history="1">
        <w:r w:rsidRPr="00CF7A57">
          <w:rPr>
            <w:rStyle w:val="Hyperlink"/>
            <w:rFonts w:ascii="Nunito Sans" w:eastAsia="Times New Roman" w:hAnsi="Nunito Sans" w:cs="Times New Roman"/>
            <w:kern w:val="0"/>
            <w:sz w:val="22"/>
            <w:szCs w:val="22"/>
            <w14:ligatures w14:val="none"/>
          </w:rPr>
          <w:t>https://yukon.ca/en/housing-and-property/funding-and-loans</w:t>
        </w:r>
      </w:hyperlink>
    </w:p>
    <w:sectPr w:rsidR="00B10C14" w:rsidRPr="00CF7A57" w:rsidSect="005364AB">
      <w:footerReference w:type="default" r:id="rId13"/>
      <w:pgSz w:w="12240" w:h="15840"/>
      <w:pgMar w:top="1152" w:right="1440" w:bottom="1152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75080" w14:textId="77777777" w:rsidR="00252C7F" w:rsidRDefault="00252C7F">
      <w:pPr>
        <w:spacing w:after="0" w:line="240" w:lineRule="auto"/>
      </w:pPr>
      <w:r>
        <w:separator/>
      </w:r>
    </w:p>
  </w:endnote>
  <w:endnote w:type="continuationSeparator" w:id="0">
    <w:p w14:paraId="363F64AA" w14:textId="77777777" w:rsidR="00252C7F" w:rsidRDefault="0025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Nunito Sans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nun">
    <w:altName w:val="Cambria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09327B2" w14:paraId="599DA0F0" w14:textId="77777777" w:rsidTr="00E078B2">
      <w:trPr>
        <w:trHeight w:val="58"/>
      </w:trPr>
      <w:tc>
        <w:tcPr>
          <w:tcW w:w="3360" w:type="dxa"/>
        </w:tcPr>
        <w:p w14:paraId="042AFB2D" w14:textId="636BB31A" w:rsidR="009327B2" w:rsidRPr="00E078B2" w:rsidRDefault="009327B2" w:rsidP="00E078B2">
          <w:pPr>
            <w:pStyle w:val="Header"/>
            <w:rPr>
              <w:sz w:val="18"/>
              <w:szCs w:val="18"/>
            </w:rPr>
          </w:pPr>
          <w:r w:rsidRPr="00E078B2">
            <w:rPr>
              <w:sz w:val="18"/>
              <w:szCs w:val="18"/>
            </w:rPr>
            <w:t>Last updated: October 2025</w:t>
          </w:r>
        </w:p>
      </w:tc>
      <w:tc>
        <w:tcPr>
          <w:tcW w:w="3360" w:type="dxa"/>
        </w:tcPr>
        <w:p w14:paraId="247DB15A" w14:textId="64C8BDEC" w:rsidR="009327B2" w:rsidRDefault="009327B2" w:rsidP="009327B2">
          <w:pPr>
            <w:pStyle w:val="Header"/>
            <w:jc w:val="center"/>
          </w:pPr>
        </w:p>
      </w:tc>
      <w:tc>
        <w:tcPr>
          <w:tcW w:w="3360" w:type="dxa"/>
        </w:tcPr>
        <w:p w14:paraId="05098771" w14:textId="77777777" w:rsidR="009327B2" w:rsidRPr="005A6A32" w:rsidRDefault="009327B2" w:rsidP="009327B2">
          <w:pPr>
            <w:pStyle w:val="Header"/>
            <w:ind w:right="-115"/>
            <w:jc w:val="right"/>
            <w:rPr>
              <w:sz w:val="18"/>
              <w:szCs w:val="18"/>
            </w:rPr>
          </w:pPr>
          <w:r w:rsidRPr="005A6A32">
            <w:rPr>
              <w:sz w:val="18"/>
              <w:szCs w:val="18"/>
            </w:rPr>
            <w:fldChar w:fldCharType="begin"/>
          </w:r>
          <w:r w:rsidRPr="005A6A32">
            <w:rPr>
              <w:sz w:val="18"/>
              <w:szCs w:val="18"/>
            </w:rPr>
            <w:instrText>PAGE</w:instrText>
          </w:r>
          <w:r w:rsidRPr="005A6A32">
            <w:rPr>
              <w:sz w:val="18"/>
              <w:szCs w:val="18"/>
            </w:rPr>
            <w:fldChar w:fldCharType="separate"/>
          </w:r>
          <w:r w:rsidRPr="005A6A32">
            <w:rPr>
              <w:noProof/>
              <w:sz w:val="18"/>
              <w:szCs w:val="18"/>
            </w:rPr>
            <w:t>1</w:t>
          </w:r>
          <w:r w:rsidRPr="005A6A32">
            <w:rPr>
              <w:sz w:val="18"/>
              <w:szCs w:val="18"/>
            </w:rPr>
            <w:fldChar w:fldCharType="end"/>
          </w:r>
        </w:p>
      </w:tc>
    </w:tr>
  </w:tbl>
  <w:p w14:paraId="0F33FB72" w14:textId="77777777" w:rsidR="00A153F7" w:rsidRDefault="00A15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3237E" w14:textId="77777777" w:rsidR="00252C7F" w:rsidRDefault="00252C7F">
      <w:pPr>
        <w:spacing w:after="0" w:line="240" w:lineRule="auto"/>
      </w:pPr>
      <w:r>
        <w:separator/>
      </w:r>
    </w:p>
  </w:footnote>
  <w:footnote w:type="continuationSeparator" w:id="0">
    <w:p w14:paraId="130E0E68" w14:textId="77777777" w:rsidR="00252C7F" w:rsidRDefault="00252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4E4C"/>
    <w:multiLevelType w:val="hybridMultilevel"/>
    <w:tmpl w:val="EDEAD898"/>
    <w:lvl w:ilvl="0" w:tplc="3488A7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77555"/>
    <w:multiLevelType w:val="multilevel"/>
    <w:tmpl w:val="F8D0FC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E215F"/>
    <w:multiLevelType w:val="multilevel"/>
    <w:tmpl w:val="DBF6E6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55ED8"/>
    <w:multiLevelType w:val="multilevel"/>
    <w:tmpl w:val="C3B6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7A627C"/>
    <w:multiLevelType w:val="multilevel"/>
    <w:tmpl w:val="048852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EE0F94"/>
    <w:multiLevelType w:val="multilevel"/>
    <w:tmpl w:val="C15C8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E6B99"/>
    <w:multiLevelType w:val="multilevel"/>
    <w:tmpl w:val="2BFE35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92730C"/>
    <w:multiLevelType w:val="hybridMultilevel"/>
    <w:tmpl w:val="C2386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A6AB1"/>
    <w:multiLevelType w:val="hybridMultilevel"/>
    <w:tmpl w:val="AF921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7A6DC4"/>
    <w:multiLevelType w:val="multilevel"/>
    <w:tmpl w:val="9B6E4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920447"/>
    <w:multiLevelType w:val="multilevel"/>
    <w:tmpl w:val="892847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335113366">
    <w:abstractNumId w:val="1"/>
  </w:num>
  <w:num w:numId="2" w16cid:durableId="1713922303">
    <w:abstractNumId w:val="9"/>
  </w:num>
  <w:num w:numId="3" w16cid:durableId="1149516568">
    <w:abstractNumId w:val="10"/>
  </w:num>
  <w:num w:numId="4" w16cid:durableId="721253660">
    <w:abstractNumId w:val="2"/>
  </w:num>
  <w:num w:numId="5" w16cid:durableId="128479853">
    <w:abstractNumId w:val="6"/>
  </w:num>
  <w:num w:numId="6" w16cid:durableId="490873779">
    <w:abstractNumId w:val="5"/>
  </w:num>
  <w:num w:numId="7" w16cid:durableId="2027248757">
    <w:abstractNumId w:val="4"/>
  </w:num>
  <w:num w:numId="8" w16cid:durableId="312221273">
    <w:abstractNumId w:val="7"/>
  </w:num>
  <w:num w:numId="9" w16cid:durableId="773982859">
    <w:abstractNumId w:val="8"/>
  </w:num>
  <w:num w:numId="10" w16cid:durableId="199823746">
    <w:abstractNumId w:val="3"/>
  </w:num>
  <w:num w:numId="11" w16cid:durableId="162615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3E"/>
    <w:rsid w:val="00037B3E"/>
    <w:rsid w:val="000C5811"/>
    <w:rsid w:val="0014241C"/>
    <w:rsid w:val="001C376C"/>
    <w:rsid w:val="00204666"/>
    <w:rsid w:val="002430B6"/>
    <w:rsid w:val="00252C7F"/>
    <w:rsid w:val="00280F73"/>
    <w:rsid w:val="002E4AFA"/>
    <w:rsid w:val="00350FAA"/>
    <w:rsid w:val="003A0A89"/>
    <w:rsid w:val="003E2A46"/>
    <w:rsid w:val="00422129"/>
    <w:rsid w:val="00451C24"/>
    <w:rsid w:val="004626B0"/>
    <w:rsid w:val="0050604A"/>
    <w:rsid w:val="00511F12"/>
    <w:rsid w:val="005364AB"/>
    <w:rsid w:val="0057623C"/>
    <w:rsid w:val="005A6A32"/>
    <w:rsid w:val="005B1B02"/>
    <w:rsid w:val="00682E3D"/>
    <w:rsid w:val="006B5B08"/>
    <w:rsid w:val="006D77DE"/>
    <w:rsid w:val="00725809"/>
    <w:rsid w:val="00765595"/>
    <w:rsid w:val="00770A21"/>
    <w:rsid w:val="00794306"/>
    <w:rsid w:val="007C5C33"/>
    <w:rsid w:val="007E662D"/>
    <w:rsid w:val="00800544"/>
    <w:rsid w:val="0084134A"/>
    <w:rsid w:val="008A03EC"/>
    <w:rsid w:val="008A21A4"/>
    <w:rsid w:val="008A7CB3"/>
    <w:rsid w:val="008B6A20"/>
    <w:rsid w:val="008F1679"/>
    <w:rsid w:val="008F3374"/>
    <w:rsid w:val="009327B2"/>
    <w:rsid w:val="009C408E"/>
    <w:rsid w:val="009E3FCC"/>
    <w:rsid w:val="00A153F7"/>
    <w:rsid w:val="00A213A2"/>
    <w:rsid w:val="00A703F3"/>
    <w:rsid w:val="00A914F8"/>
    <w:rsid w:val="00AC5292"/>
    <w:rsid w:val="00B10C14"/>
    <w:rsid w:val="00B679C1"/>
    <w:rsid w:val="00BF1091"/>
    <w:rsid w:val="00CD1282"/>
    <w:rsid w:val="00CE4EC6"/>
    <w:rsid w:val="00CF7A57"/>
    <w:rsid w:val="00D1607F"/>
    <w:rsid w:val="00D527C7"/>
    <w:rsid w:val="00DD1449"/>
    <w:rsid w:val="00DD222D"/>
    <w:rsid w:val="00DE244B"/>
    <w:rsid w:val="00E04329"/>
    <w:rsid w:val="00E078B2"/>
    <w:rsid w:val="00E14130"/>
    <w:rsid w:val="00E425AA"/>
    <w:rsid w:val="00F14F70"/>
    <w:rsid w:val="00F85074"/>
    <w:rsid w:val="00FA0C3C"/>
    <w:rsid w:val="00FE08DB"/>
    <w:rsid w:val="01957E4A"/>
    <w:rsid w:val="01B19DE7"/>
    <w:rsid w:val="0590B679"/>
    <w:rsid w:val="077C28FE"/>
    <w:rsid w:val="0795222A"/>
    <w:rsid w:val="094DA8CC"/>
    <w:rsid w:val="0961BF5F"/>
    <w:rsid w:val="09974718"/>
    <w:rsid w:val="0A5C780C"/>
    <w:rsid w:val="0B2113E6"/>
    <w:rsid w:val="0F2A0B50"/>
    <w:rsid w:val="1011791F"/>
    <w:rsid w:val="11EDA74E"/>
    <w:rsid w:val="14C87DBC"/>
    <w:rsid w:val="1613B1D4"/>
    <w:rsid w:val="17E66FED"/>
    <w:rsid w:val="19E9B6B9"/>
    <w:rsid w:val="1C965984"/>
    <w:rsid w:val="1D3372E9"/>
    <w:rsid w:val="1D358726"/>
    <w:rsid w:val="1D672D57"/>
    <w:rsid w:val="1F571C98"/>
    <w:rsid w:val="1F917B69"/>
    <w:rsid w:val="1FCA3128"/>
    <w:rsid w:val="237F6E30"/>
    <w:rsid w:val="23E2BDCA"/>
    <w:rsid w:val="2508CEE9"/>
    <w:rsid w:val="25DDDCE5"/>
    <w:rsid w:val="25E03960"/>
    <w:rsid w:val="29661B51"/>
    <w:rsid w:val="296A948B"/>
    <w:rsid w:val="2CC84FDC"/>
    <w:rsid w:val="2CF25693"/>
    <w:rsid w:val="2D2EBEEF"/>
    <w:rsid w:val="2D4B3D71"/>
    <w:rsid w:val="2DFBACDB"/>
    <w:rsid w:val="2DFC580B"/>
    <w:rsid w:val="2F8D99D8"/>
    <w:rsid w:val="309EF7F3"/>
    <w:rsid w:val="32533062"/>
    <w:rsid w:val="33B3CFFF"/>
    <w:rsid w:val="3531EB9C"/>
    <w:rsid w:val="35B5C301"/>
    <w:rsid w:val="371D88B0"/>
    <w:rsid w:val="38160987"/>
    <w:rsid w:val="391EFAA6"/>
    <w:rsid w:val="395E3C65"/>
    <w:rsid w:val="39D0EF41"/>
    <w:rsid w:val="3F7517B5"/>
    <w:rsid w:val="42040C61"/>
    <w:rsid w:val="42135A49"/>
    <w:rsid w:val="4274FAC9"/>
    <w:rsid w:val="42A33F83"/>
    <w:rsid w:val="436FCBE1"/>
    <w:rsid w:val="43729B02"/>
    <w:rsid w:val="439B7582"/>
    <w:rsid w:val="4A14FAB7"/>
    <w:rsid w:val="4DF53701"/>
    <w:rsid w:val="4ED03D78"/>
    <w:rsid w:val="4F0F93C3"/>
    <w:rsid w:val="552B7FCB"/>
    <w:rsid w:val="558707D7"/>
    <w:rsid w:val="569E3034"/>
    <w:rsid w:val="581285E3"/>
    <w:rsid w:val="581728E9"/>
    <w:rsid w:val="5978A3A2"/>
    <w:rsid w:val="5A73599F"/>
    <w:rsid w:val="5A90B463"/>
    <w:rsid w:val="5AA89EE4"/>
    <w:rsid w:val="5B7565AB"/>
    <w:rsid w:val="5F397C8C"/>
    <w:rsid w:val="5F814DB2"/>
    <w:rsid w:val="5FEF2B7D"/>
    <w:rsid w:val="615217BB"/>
    <w:rsid w:val="62E68F25"/>
    <w:rsid w:val="63CF346D"/>
    <w:rsid w:val="64F43754"/>
    <w:rsid w:val="65A1DD3D"/>
    <w:rsid w:val="663DB4AA"/>
    <w:rsid w:val="66AC2805"/>
    <w:rsid w:val="66BBA81D"/>
    <w:rsid w:val="6736708F"/>
    <w:rsid w:val="67CC0905"/>
    <w:rsid w:val="68CBCFD4"/>
    <w:rsid w:val="6B3DD007"/>
    <w:rsid w:val="6C96B57E"/>
    <w:rsid w:val="6D80E61D"/>
    <w:rsid w:val="6DCC514B"/>
    <w:rsid w:val="6E19A3EC"/>
    <w:rsid w:val="6EF3A472"/>
    <w:rsid w:val="6F4CEBE6"/>
    <w:rsid w:val="6FA8846B"/>
    <w:rsid w:val="7069EA02"/>
    <w:rsid w:val="715A6A13"/>
    <w:rsid w:val="7237B15F"/>
    <w:rsid w:val="732FBC79"/>
    <w:rsid w:val="73D91BA2"/>
    <w:rsid w:val="746EFD2A"/>
    <w:rsid w:val="74D2B164"/>
    <w:rsid w:val="77175B27"/>
    <w:rsid w:val="7822E19A"/>
    <w:rsid w:val="792AD783"/>
    <w:rsid w:val="7A058969"/>
    <w:rsid w:val="7A276573"/>
    <w:rsid w:val="7C82BD60"/>
    <w:rsid w:val="7D1F774D"/>
    <w:rsid w:val="7D245CC9"/>
    <w:rsid w:val="7D5D2A2F"/>
    <w:rsid w:val="7DAB3767"/>
    <w:rsid w:val="7E1B5091"/>
    <w:rsid w:val="7FB4E948"/>
    <w:rsid w:val="7FD7F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E706C"/>
  <w15:chartTrackingRefBased/>
  <w15:docId w15:val="{951BA8AE-6E4E-4808-B8FF-20D2EEC9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B3E"/>
  </w:style>
  <w:style w:type="paragraph" w:styleId="Heading1">
    <w:name w:val="heading 1"/>
    <w:basedOn w:val="Normal"/>
    <w:next w:val="Normal"/>
    <w:link w:val="Heading1Char"/>
    <w:uiPriority w:val="9"/>
    <w:qFormat/>
    <w:rsid w:val="00037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B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B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B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B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B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B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7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B3E"/>
  </w:style>
  <w:style w:type="paragraph" w:styleId="Footer">
    <w:name w:val="footer"/>
    <w:basedOn w:val="Normal"/>
    <w:link w:val="FooterChar"/>
    <w:uiPriority w:val="99"/>
    <w:unhideWhenUsed/>
    <w:rsid w:val="00037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B3E"/>
  </w:style>
  <w:style w:type="character" w:styleId="Hyperlink">
    <w:name w:val="Hyperlink"/>
    <w:basedOn w:val="DefaultParagraphFont"/>
    <w:uiPriority w:val="99"/>
    <w:unhideWhenUsed/>
    <w:rsid w:val="00037B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76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C5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8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81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E14130"/>
    <w:rPr>
      <w:color w:val="2B579A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5A6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pc.ca/fund-administratio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yukon.ca/en/housing-and-property/social-housing-tenant-supports/find-social-housing-income-limit-thresholds" TargetMode="External"/><Relationship Id="rId12" Type="http://schemas.openxmlformats.org/officeDocument/2006/relationships/hyperlink" Target="https://yukon.ca/en/housing-and-property/funding-and-loans/apply-gender-based-violence-rent-subsi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apc.ca/fund-administration/yapc-gbv-gran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bvhousingbenefit@yukon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ukon.ca/sites/default/files/2024-12/yhc-canada-yukon-housing-benefit-gender-based-violence-application-2024-english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Mbuto</dc:creator>
  <cp:keywords/>
  <dc:description/>
  <cp:lastModifiedBy>Keitha Clark</cp:lastModifiedBy>
  <cp:revision>3</cp:revision>
  <dcterms:created xsi:type="dcterms:W3CDTF">2025-10-20T16:50:00Z</dcterms:created>
  <dcterms:modified xsi:type="dcterms:W3CDTF">2025-10-23T16:38:00Z</dcterms:modified>
</cp:coreProperties>
</file>